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1A6B" w:rsidRPr="004C5E1A" w:rsidRDefault="00000000">
      <w:pPr>
        <w:shd w:val="clear" w:color="auto" w:fill="FFFFFF"/>
        <w:spacing w:afterLines="100" w:after="312"/>
        <w:jc w:val="center"/>
        <w:rPr>
          <w:rFonts w:asciiTheme="majorEastAsia" w:eastAsiaTheme="majorEastAsia" w:hAnsiTheme="majorEastAsia" w:cs="宋体"/>
          <w:b/>
          <w:bCs/>
          <w:sz w:val="36"/>
          <w:szCs w:val="36"/>
        </w:rPr>
      </w:pPr>
      <w:r w:rsidRPr="004C5E1A">
        <w:rPr>
          <w:rFonts w:asciiTheme="majorEastAsia" w:eastAsiaTheme="majorEastAsia" w:hAnsiTheme="majorEastAsia" w:cs="宋体" w:hint="eastAsia"/>
          <w:b/>
          <w:bCs/>
          <w:sz w:val="36"/>
          <w:szCs w:val="36"/>
        </w:rPr>
        <w:t>中南林业科技大学涉外学院2023年“专升本”</w:t>
      </w:r>
    </w:p>
    <w:p w:rsidR="00541A6B" w:rsidRPr="004C5E1A" w:rsidRDefault="00000000">
      <w:pPr>
        <w:widowControl/>
        <w:shd w:val="clear" w:color="auto" w:fill="FFFFFF"/>
        <w:spacing w:afterLines="100" w:after="312"/>
        <w:jc w:val="center"/>
        <w:rPr>
          <w:rFonts w:asciiTheme="majorEastAsia" w:eastAsiaTheme="majorEastAsia" w:hAnsiTheme="majorEastAsia" w:cs="宋体"/>
          <w:b/>
          <w:bCs/>
          <w:sz w:val="36"/>
          <w:szCs w:val="36"/>
        </w:rPr>
      </w:pPr>
      <w:r w:rsidRPr="004C5E1A">
        <w:rPr>
          <w:rFonts w:asciiTheme="majorEastAsia" w:eastAsiaTheme="majorEastAsia" w:hAnsiTheme="majorEastAsia" w:cs="宋体" w:hint="eastAsia"/>
          <w:b/>
          <w:bCs/>
          <w:sz w:val="36"/>
          <w:szCs w:val="36"/>
        </w:rPr>
        <w:t>《国际贸易实务》课程考试大纲</w:t>
      </w:r>
    </w:p>
    <w:p w:rsidR="00541A6B" w:rsidRDefault="00000000">
      <w:pPr>
        <w:pStyle w:val="a8"/>
        <w:widowControl/>
        <w:numPr>
          <w:ilvl w:val="0"/>
          <w:numId w:val="1"/>
        </w:numPr>
        <w:shd w:val="clear" w:color="auto" w:fill="FFFFFF"/>
        <w:spacing w:line="560" w:lineRule="exact"/>
        <w:ind w:firstLineChars="0"/>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考试基本要求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proofErr w:type="gramStart"/>
      <w:r>
        <w:rPr>
          <w:rFonts w:ascii="仿宋" w:eastAsia="仿宋" w:hAnsi="仿宋" w:cs="仿宋" w:hint="eastAsia"/>
          <w:kern w:val="0"/>
          <w:sz w:val="24"/>
          <w:szCs w:val="24"/>
        </w:rPr>
        <w:t>本考试</w:t>
      </w:r>
      <w:proofErr w:type="gramEnd"/>
      <w:r>
        <w:rPr>
          <w:rFonts w:ascii="仿宋" w:eastAsia="仿宋" w:hAnsi="仿宋" w:cs="仿宋" w:hint="eastAsia"/>
          <w:kern w:val="0"/>
          <w:sz w:val="24"/>
          <w:szCs w:val="24"/>
        </w:rPr>
        <w:t>是为国际经济与贸易专业招收“专升本”学生而实施的具有选拔功能的水平考试，其指导思想是既要有利于国家对高层次人才的选拔，又要有利于促进高等学校专业课程教学质量的提高，考试对象为2023年参加“专升本”考试的考生。</w:t>
      </w:r>
    </w:p>
    <w:p w:rsidR="00541A6B" w:rsidRDefault="00000000">
      <w:pPr>
        <w:widowControl/>
        <w:shd w:val="clear" w:color="auto" w:fill="FFFFFF"/>
        <w:spacing w:line="560" w:lineRule="exact"/>
        <w:ind w:firstLineChars="200" w:firstLine="480"/>
        <w:rPr>
          <w:rFonts w:ascii="仿宋" w:eastAsia="仿宋" w:hAnsi="仿宋" w:cs="仿宋"/>
          <w:b/>
          <w:bCs/>
          <w:color w:val="000000"/>
          <w:kern w:val="0"/>
          <w:sz w:val="24"/>
          <w:szCs w:val="24"/>
        </w:rPr>
      </w:pPr>
      <w:r>
        <w:rPr>
          <w:rFonts w:ascii="仿宋" w:eastAsia="仿宋" w:hAnsi="仿宋" w:cs="仿宋" w:hint="eastAsia"/>
          <w:kern w:val="0"/>
          <w:sz w:val="24"/>
          <w:szCs w:val="24"/>
        </w:rPr>
        <w:t>《国际贸易实务》是一门实践性、操作性和综合性很强的应用型课程，是国际经济与贸易专业重要的专业基础核心课程。学习该课程的主要目的是使学生了解国际贸易实务方面的基础理论和国际惯例，掌握进出口贸易的流程和操作技巧，懂得如何将所学的原理用来解决实际业务问题。从而使学生在从事国际贸易活动中，既能正确贯彻我国对外贸易的方针政策，确保最佳经济效益，又能按国际贸易法规办事，成为外贸战线实用型人才。</w:t>
      </w:r>
    </w:p>
    <w:p w:rsidR="00541A6B"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二、考试方式、时间、题型及比例</w:t>
      </w:r>
    </w:p>
    <w:p w:rsidR="00541A6B" w:rsidRDefault="00000000">
      <w:pPr>
        <w:widowControl/>
        <w:shd w:val="clear" w:color="auto" w:fill="FFFFFF"/>
        <w:spacing w:line="560" w:lineRule="exact"/>
        <w:ind w:leftChars="171" w:left="359"/>
        <w:rPr>
          <w:rFonts w:ascii="仿宋" w:eastAsia="仿宋" w:hAnsi="仿宋" w:cs="仿宋"/>
          <w:color w:val="000000" w:themeColor="text1"/>
          <w:kern w:val="0"/>
          <w:sz w:val="24"/>
          <w:szCs w:val="24"/>
          <w:lang w:val="en"/>
        </w:rPr>
      </w:pPr>
      <w:r>
        <w:rPr>
          <w:rFonts w:ascii="仿宋" w:eastAsia="仿宋" w:hAnsi="仿宋" w:cs="仿宋" w:hint="eastAsia"/>
          <w:color w:val="000000" w:themeColor="text1"/>
          <w:kern w:val="0"/>
          <w:sz w:val="24"/>
          <w:szCs w:val="24"/>
        </w:rPr>
        <w:t>1．考试方式：闭卷考试</w:t>
      </w:r>
    </w:p>
    <w:p w:rsidR="00541A6B" w:rsidRDefault="00000000">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2．考试时间：100分钟</w:t>
      </w:r>
    </w:p>
    <w:p w:rsidR="00541A6B" w:rsidRDefault="00000000">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3. 题型比例：</w:t>
      </w:r>
      <w:r>
        <w:rPr>
          <w:rFonts w:ascii="仿宋" w:eastAsia="仿宋" w:hAnsi="仿宋" w:cs="仿宋" w:hint="eastAsia"/>
          <w:color w:val="000000"/>
          <w:kern w:val="0"/>
          <w:sz w:val="24"/>
          <w:szCs w:val="24"/>
        </w:rPr>
        <w:t>总分值为100分。考试题型主要为：单选题（40%）、多选题（10%）、判断题（10%）、简答题（20%）、案例分析题（20%）</w:t>
      </w:r>
    </w:p>
    <w:p w:rsidR="00541A6B"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三、考试内容及考试要求</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（一）导论</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国际贸易的研究对象</w:t>
      </w:r>
    </w:p>
    <w:p w:rsidR="00541A6B"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国际贸易的基本流程</w:t>
      </w:r>
    </w:p>
    <w:p w:rsidR="00541A6B"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国际贸易的法律法规</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（1）了解国际贸易的研究对象和基本内容；熟悉国际贸易进出口业务的基本流程。</w:t>
      </w:r>
    </w:p>
    <w:p w:rsidR="00541A6B" w:rsidRDefault="00000000">
      <w:pPr>
        <w:widowControl/>
        <w:shd w:val="clear" w:color="auto" w:fill="FFFFFF"/>
        <w:spacing w:line="560" w:lineRule="exact"/>
        <w:ind w:firstLineChars="200" w:firstLine="480"/>
        <w:rPr>
          <w:rFonts w:ascii="仿宋" w:eastAsia="仿宋" w:hAnsi="仿宋" w:cs="仿宋"/>
          <w:b/>
          <w:bCs/>
          <w:color w:val="000000"/>
          <w:kern w:val="0"/>
          <w:sz w:val="24"/>
          <w:szCs w:val="24"/>
        </w:rPr>
      </w:pPr>
      <w:r>
        <w:rPr>
          <w:rFonts w:ascii="仿宋" w:eastAsia="仿宋" w:hAnsi="仿宋" w:cs="仿宋" w:hint="eastAsia"/>
          <w:kern w:val="0"/>
          <w:sz w:val="24"/>
          <w:szCs w:val="24"/>
        </w:rPr>
        <w:t>（2）掌握理解国际贸易方面的国内法、国际公约和国际惯例的适用性。</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（二）</w:t>
      </w:r>
      <w:r>
        <w:rPr>
          <w:rFonts w:ascii="仿宋" w:eastAsia="仿宋" w:hAnsi="仿宋" w:cs="仿宋" w:hint="eastAsia"/>
          <w:color w:val="000000"/>
          <w:kern w:val="0"/>
          <w:sz w:val="24"/>
          <w:szCs w:val="24"/>
        </w:rPr>
        <w:t>国际货物买卖合同的磋商与订立</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（1）合同交易磋商的一般程序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（2）发盘、还盘和接受</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（3）合同的订立</w:t>
      </w:r>
    </w:p>
    <w:p w:rsidR="00541A6B"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合同的履行</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（1）了解国际货物贸易进出口交易的业务流程，熟悉国际货物贸易合同磋商前的准备工作和合同磋商程序，熟悉有关公约、惯例对</w:t>
      </w:r>
      <w:proofErr w:type="gramStart"/>
      <w:r>
        <w:rPr>
          <w:rFonts w:ascii="仿宋" w:eastAsia="仿宋" w:hAnsi="仿宋" w:cs="仿宋" w:hint="eastAsia"/>
          <w:kern w:val="0"/>
          <w:sz w:val="24"/>
          <w:szCs w:val="24"/>
        </w:rPr>
        <w:t>询</w:t>
      </w:r>
      <w:proofErr w:type="gramEnd"/>
      <w:r>
        <w:rPr>
          <w:rFonts w:ascii="仿宋" w:eastAsia="仿宋" w:hAnsi="仿宋" w:cs="仿宋" w:hint="eastAsia"/>
          <w:kern w:val="0"/>
          <w:sz w:val="24"/>
          <w:szCs w:val="24"/>
        </w:rPr>
        <w:t>盘、发盘、还盘、接受的规定；掌握合同的基本形式和内容，并能草拟合同。</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（2）掌握发盘的定义、构成条件、撤销与撤回；接受的定义、构成条件和生效与撤回；合同的形式、内容及构成条件。</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（三）国际贸易术语</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（1）贸易术语的含义与作用</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（2）适用于各种运输方式的贸易术语</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（3）适用于水上运输方式的贸易术语</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（4）选用贸易术语的原则</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（1）了解国际贸易术语的概念和有关国际贸易术语的国际惯例。</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（2）掌握国际商会《2020通则》解释的11种贸易术语，理解一些主要贸易术语的含义、特点及其运用，特别是贸易术语下买卖双方的义务，责任和风险划分。重点区别FOB、CFR、CIF和FCA、CPT、CIP的异同区别。</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（四）国际贸易商品价格</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（1）进出口商品作价的原则和方法</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（2）国际贸易合同中价格条款</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（3）佣金和折扣的运用</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（4）对外贸易效益成本核算</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（1）掌握进出口商品的作价原则和作价方法；了解合同中价格条款的基本内容和正确订立合同中的价格条款。</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（2）掌握成本核算的内容和计算方法；计价货币选择的原则及规避风险的措施；佣金和折扣的计算。</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（五）商品的品名、质量、数量和包装</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（1）商品的品名</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（2）商品的品质</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（3）商品的数量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（4）商品的包装</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（1）了解商品的品名及命名方法；合同中商品品质的表示方法及订立品质条款的注意事项。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（2）掌握合同中商品数量的计算方法及数量条款的订立；数量条款及数量机动幅度的规定办法。</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（3）熟悉包装分类，包装条款的规定和运输标志的设计。</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（六）国际货物运输</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（1）国际海洋货物运输中两种运输方式的定义和基本特点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（2）分批装运和转运的定义</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（3）有关运费的计算方法</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（4）海运提单的概念、性质和作用、分类</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（5）清洁提单和不清洁提单的概念</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（6）了解其他的运输方式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（1）了解国际贸易的各种运输方式及其特点，尤其是海洋运输的相关知识。</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（2）熟悉运输单据的种类与作用。</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（3）掌握装运条款的主要内容，学会运费的计算。</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（七）国际货物运输保险</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（1）保险的基本原则</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（2）货物运输保险保障的范围、有关概念</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（3）损失的种类、定义，共同海损和单独海损的概念</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（4）我国海运保险的险别、范围</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（5）伦敦协会货物保险的主要险别、范围</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（6）保险实务操作：投保金额、保险单据的种类保险费的计算</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（7）了解其他运输方式下的保险</w:t>
      </w:r>
      <w:proofErr w:type="gramStart"/>
      <w:r>
        <w:rPr>
          <w:rFonts w:ascii="仿宋" w:eastAsia="仿宋" w:hAnsi="仿宋" w:cs="仿宋" w:hint="eastAsia"/>
          <w:kern w:val="0"/>
          <w:sz w:val="24"/>
          <w:szCs w:val="24"/>
        </w:rPr>
        <w:t>险</w:t>
      </w:r>
      <w:proofErr w:type="gramEnd"/>
      <w:r>
        <w:rPr>
          <w:rFonts w:ascii="仿宋" w:eastAsia="仿宋" w:hAnsi="仿宋" w:cs="仿宋" w:hint="eastAsia"/>
          <w:kern w:val="0"/>
          <w:sz w:val="24"/>
          <w:szCs w:val="24"/>
        </w:rPr>
        <w:t>别</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（1）掌握海运风险及海运损失的有关内容。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 xml:space="preserve">（2）掌握我国海运货物险别及合同中的保险条款的规定办法，学会保险费的计算。 </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（八）国际货款的结算</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1.考核的知识点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（1）汇款、托收、信用证的概念</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（2）汇票的定义和基本内容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（3）汇款、托收和信用证的基本业务流程</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（4）信用证的定义、特点、作用、程序、案例分析</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（5）银行保函和备用信用证的定义</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（6）国际</w:t>
      </w:r>
      <w:proofErr w:type="gramStart"/>
      <w:r>
        <w:rPr>
          <w:rFonts w:ascii="仿宋" w:eastAsia="仿宋" w:hAnsi="仿宋" w:cs="仿宋" w:hint="eastAsia"/>
          <w:kern w:val="0"/>
          <w:sz w:val="24"/>
          <w:szCs w:val="24"/>
        </w:rPr>
        <w:t>保理业务</w:t>
      </w:r>
      <w:proofErr w:type="gramEnd"/>
      <w:r>
        <w:rPr>
          <w:rFonts w:ascii="仿宋" w:eastAsia="仿宋" w:hAnsi="仿宋" w:cs="仿宋" w:hint="eastAsia"/>
          <w:kern w:val="0"/>
          <w:sz w:val="24"/>
          <w:szCs w:val="24"/>
        </w:rPr>
        <w:t>的含义、基本内容及操作流程</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（7）汇票、本票和支票的异同点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（1）明确汇票、本票、支票的定义、种类、内容。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（2）掌握汇款、托收的含义基本业务流程。</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（3）熟练掌握信用证的定义、特点、作用及操作流程，了解国际</w:t>
      </w:r>
      <w:proofErr w:type="gramStart"/>
      <w:r>
        <w:rPr>
          <w:rFonts w:ascii="仿宋" w:eastAsia="仿宋" w:hAnsi="仿宋" w:cs="仿宋" w:hint="eastAsia"/>
          <w:kern w:val="0"/>
          <w:sz w:val="24"/>
          <w:szCs w:val="24"/>
        </w:rPr>
        <w:t>保理业务</w:t>
      </w:r>
      <w:proofErr w:type="gramEnd"/>
      <w:r>
        <w:rPr>
          <w:rFonts w:ascii="仿宋" w:eastAsia="仿宋" w:hAnsi="仿宋" w:cs="仿宋" w:hint="eastAsia"/>
          <w:kern w:val="0"/>
          <w:sz w:val="24"/>
          <w:szCs w:val="24"/>
        </w:rPr>
        <w:t>的特点及作用。</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（4）学会在国际贸易不同条件下正确选择适当的支付方式。</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（九）国际贸易争议的预防与处理</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（1）检验的时间和地点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（2）定金与预付款的区别，约定定金条款要考虑的因素</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（3）违约金条款的规定</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（4）不可抗力的含义、范围、和后果</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（5）仲裁的定义、仲裁条款的内容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（1）认识商检和索赔工作的重要性。</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（2）了解不可抗力的构成因素和具体规定。</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（3）熟悉仲裁的特点，并掌握国际贸易争议预防与处理的方法。</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（十）进出口合同的履行</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（1）履行进出口合同的基本程序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（2）信用证审查的内容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（3）银行结汇时要提交的单据</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（4）买方办理进口索赔的注意事项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 xml:space="preserve">2.考核要求 </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（1）了解进出口合同履行的一般程序。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（2）掌握催证、审证、改证的基本内容。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（3）熟悉货物托运、报验、报关、投保及缮制各种单据的具体做法，明确进口业务的索赔和理赔工作。</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（十一）国际贸易方式</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（1）包销与独家代理的区别</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（2）寄售的概念和利弊</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（3）补偿贸易的概念和种类</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（4）来料加工与进料加工的异同点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（5）对销贸易的含义和特点</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2.考核要求</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（1）了解各种贸易方式的概念、特点、以某种贸易方式成交而订立的协议的主要内容。</w:t>
      </w:r>
    </w:p>
    <w:p w:rsidR="00541A6B" w:rsidRDefault="00000000">
      <w:pPr>
        <w:widowControl/>
        <w:shd w:val="clear" w:color="auto" w:fill="FFFFFF"/>
        <w:spacing w:line="560" w:lineRule="exact"/>
        <w:ind w:firstLineChars="200" w:firstLine="480"/>
        <w:rPr>
          <w:rFonts w:ascii="仿宋" w:eastAsia="仿宋" w:hAnsi="仿宋" w:cs="仿宋"/>
          <w:b/>
          <w:bCs/>
          <w:color w:val="000000"/>
          <w:kern w:val="0"/>
          <w:sz w:val="24"/>
          <w:szCs w:val="24"/>
        </w:rPr>
      </w:pPr>
      <w:r>
        <w:rPr>
          <w:rFonts w:ascii="仿宋" w:eastAsia="仿宋" w:hAnsi="仿宋" w:cs="仿宋" w:hint="eastAsia"/>
          <w:kern w:val="0"/>
          <w:sz w:val="24"/>
          <w:szCs w:val="24"/>
        </w:rPr>
        <w:t>（2）掌握在不同贸易方式下双方当事人的权利与义务，以及如何对具体运作中可能出现的问题加以注意和防范。</w:t>
      </w:r>
    </w:p>
    <w:p w:rsidR="00541A6B"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四、其他说明</w:t>
      </w:r>
    </w:p>
    <w:p w:rsidR="00541A6B" w:rsidRDefault="00000000">
      <w:pPr>
        <w:widowControl/>
        <w:shd w:val="clear" w:color="auto" w:fill="FFFFFF"/>
        <w:spacing w:line="560" w:lineRule="exact"/>
        <w:ind w:firstLineChars="300" w:firstLine="720"/>
        <w:rPr>
          <w:rFonts w:ascii="仿宋" w:eastAsia="仿宋" w:hAnsi="仿宋" w:cs="仿宋"/>
          <w:b/>
          <w:bCs/>
          <w:color w:val="000000"/>
          <w:kern w:val="0"/>
          <w:sz w:val="24"/>
          <w:szCs w:val="24"/>
        </w:rPr>
      </w:pPr>
      <w:r>
        <w:rPr>
          <w:rFonts w:ascii="仿宋" w:eastAsia="仿宋" w:hAnsi="仿宋" w:cs="仿宋" w:hint="eastAsia"/>
          <w:color w:val="000000" w:themeColor="text1"/>
          <w:kern w:val="0"/>
          <w:sz w:val="24"/>
          <w:szCs w:val="24"/>
        </w:rPr>
        <w:t>无</w:t>
      </w:r>
    </w:p>
    <w:p w:rsidR="00541A6B"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五、参考书目</w:t>
      </w:r>
    </w:p>
    <w:p w:rsidR="00541A6B"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教材：《国际贸易实务(第4版)》</w:t>
      </w:r>
      <w:proofErr w:type="gramStart"/>
      <w:r>
        <w:rPr>
          <w:rFonts w:ascii="仿宋" w:eastAsia="仿宋" w:hAnsi="仿宋" w:cs="仿宋" w:hint="eastAsia"/>
          <w:kern w:val="0"/>
          <w:sz w:val="24"/>
          <w:szCs w:val="24"/>
        </w:rPr>
        <w:t>冷柏军</w:t>
      </w:r>
      <w:proofErr w:type="gramEnd"/>
      <w:r>
        <w:rPr>
          <w:rFonts w:ascii="仿宋" w:eastAsia="仿宋" w:hAnsi="仿宋" w:cs="仿宋" w:hint="eastAsia"/>
          <w:kern w:val="0"/>
          <w:sz w:val="24"/>
          <w:szCs w:val="24"/>
        </w:rPr>
        <w:t>主编    出版社：高等教育出版社      出版时间：2019年1月（2020年第3次印刷版）</w:t>
      </w:r>
    </w:p>
    <w:p w:rsidR="00541A6B" w:rsidRDefault="00000000">
      <w:pPr>
        <w:spacing w:line="480" w:lineRule="atLeast"/>
        <w:ind w:firstLineChars="200" w:firstLine="480"/>
        <w:rPr>
          <w:rFonts w:ascii="仿宋" w:eastAsia="仿宋" w:hAnsi="仿宋" w:cs="仿宋"/>
          <w:bCs/>
          <w:sz w:val="24"/>
        </w:rPr>
      </w:pPr>
      <w:r>
        <w:rPr>
          <w:rFonts w:ascii="仿宋" w:eastAsia="仿宋" w:hAnsi="仿宋" w:cs="仿宋" w:hint="eastAsia"/>
          <w:bCs/>
          <w:sz w:val="24"/>
        </w:rPr>
        <w:t>购买链接：（供参考）</w:t>
      </w:r>
    </w:p>
    <w:p w:rsidR="00541A6B"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https://detail.tmall.com/item.htm?abbucket=3&amp;id=586110707363&amp;rn=b0a2c6790557f64e4a0818131cc7445a&amp;spm=a1z10.3-b-s.w4011-14726152021.51.76e81b56bLiPUB</w:t>
      </w:r>
    </w:p>
    <w:p w:rsidR="00541A6B" w:rsidRDefault="00541A6B">
      <w:pPr>
        <w:widowControl/>
        <w:shd w:val="clear" w:color="auto" w:fill="FFFFFF"/>
        <w:spacing w:line="560" w:lineRule="exact"/>
        <w:ind w:firstLineChars="250" w:firstLine="700"/>
        <w:rPr>
          <w:rFonts w:ascii="仿宋" w:eastAsia="仿宋" w:hAnsi="仿宋" w:cs="仿宋"/>
          <w:color w:val="000000"/>
          <w:kern w:val="0"/>
          <w:sz w:val="28"/>
          <w:szCs w:val="28"/>
        </w:rPr>
      </w:pPr>
    </w:p>
    <w:p w:rsidR="00541A6B" w:rsidRDefault="00541A6B">
      <w:pPr>
        <w:widowControl/>
        <w:shd w:val="clear" w:color="auto" w:fill="FFFFFF"/>
        <w:spacing w:line="560" w:lineRule="exact"/>
        <w:ind w:firstLineChars="250" w:firstLine="700"/>
        <w:rPr>
          <w:rFonts w:ascii="仿宋" w:eastAsia="仿宋" w:hAnsi="仿宋" w:cs="仿宋"/>
          <w:color w:val="000000"/>
          <w:kern w:val="0"/>
          <w:sz w:val="28"/>
          <w:szCs w:val="28"/>
        </w:rPr>
      </w:pPr>
    </w:p>
    <w:sectPr w:rsidR="00541A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431D" w:rsidRDefault="00CA431D" w:rsidP="004C5E1A">
      <w:r>
        <w:separator/>
      </w:r>
    </w:p>
  </w:endnote>
  <w:endnote w:type="continuationSeparator" w:id="0">
    <w:p w:rsidR="00CA431D" w:rsidRDefault="00CA431D" w:rsidP="004C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431D" w:rsidRDefault="00CA431D" w:rsidP="004C5E1A">
      <w:r>
        <w:separator/>
      </w:r>
    </w:p>
  </w:footnote>
  <w:footnote w:type="continuationSeparator" w:id="0">
    <w:p w:rsidR="00CA431D" w:rsidRDefault="00CA431D" w:rsidP="004C5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AE37D8"/>
    <w:multiLevelType w:val="singleLevel"/>
    <w:tmpl w:val="98AE37D8"/>
    <w:lvl w:ilvl="0">
      <w:start w:val="1"/>
      <w:numFmt w:val="decimal"/>
      <w:suff w:val="nothing"/>
      <w:lvlText w:val="（%1）"/>
      <w:lvlJc w:val="left"/>
    </w:lvl>
  </w:abstractNum>
  <w:abstractNum w:abstractNumId="1"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89196287">
    <w:abstractNumId w:val="1"/>
  </w:num>
  <w:num w:numId="2" w16cid:durableId="1653169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lmMmU5MjVjMzM2NmM4MTBhNTllYjk5NDAyZTg1ZjQifQ=="/>
  </w:docVars>
  <w:rsids>
    <w:rsidRoot w:val="009428B6"/>
    <w:rsid w:val="000047FA"/>
    <w:rsid w:val="00075312"/>
    <w:rsid w:val="00082DBE"/>
    <w:rsid w:val="000B63DB"/>
    <w:rsid w:val="000C6EAE"/>
    <w:rsid w:val="000D0C6F"/>
    <w:rsid w:val="000D6F9B"/>
    <w:rsid w:val="000E172D"/>
    <w:rsid w:val="001140E3"/>
    <w:rsid w:val="00133305"/>
    <w:rsid w:val="00153727"/>
    <w:rsid w:val="00175746"/>
    <w:rsid w:val="001A3743"/>
    <w:rsid w:val="001A6A51"/>
    <w:rsid w:val="001B6FC5"/>
    <w:rsid w:val="00206940"/>
    <w:rsid w:val="00223CB2"/>
    <w:rsid w:val="00280BEF"/>
    <w:rsid w:val="002B6E7E"/>
    <w:rsid w:val="002F12D2"/>
    <w:rsid w:val="003362F2"/>
    <w:rsid w:val="003677B0"/>
    <w:rsid w:val="003D1990"/>
    <w:rsid w:val="004055AB"/>
    <w:rsid w:val="00412AA3"/>
    <w:rsid w:val="004162FE"/>
    <w:rsid w:val="00435778"/>
    <w:rsid w:val="00442906"/>
    <w:rsid w:val="004A45B0"/>
    <w:rsid w:val="004B77B3"/>
    <w:rsid w:val="004C5E1A"/>
    <w:rsid w:val="004E74D4"/>
    <w:rsid w:val="004F1957"/>
    <w:rsid w:val="004F2AAF"/>
    <w:rsid w:val="00520C02"/>
    <w:rsid w:val="0052316C"/>
    <w:rsid w:val="00541A6B"/>
    <w:rsid w:val="0054387B"/>
    <w:rsid w:val="00553B64"/>
    <w:rsid w:val="005779CF"/>
    <w:rsid w:val="00590BF0"/>
    <w:rsid w:val="005B7532"/>
    <w:rsid w:val="00654E13"/>
    <w:rsid w:val="00660DDF"/>
    <w:rsid w:val="006E4184"/>
    <w:rsid w:val="007565E8"/>
    <w:rsid w:val="0076776E"/>
    <w:rsid w:val="00797CDA"/>
    <w:rsid w:val="007A24B5"/>
    <w:rsid w:val="007B2ECA"/>
    <w:rsid w:val="007D1F6B"/>
    <w:rsid w:val="007E536B"/>
    <w:rsid w:val="008133C0"/>
    <w:rsid w:val="00842CC5"/>
    <w:rsid w:val="008731F6"/>
    <w:rsid w:val="008A3643"/>
    <w:rsid w:val="008C4E0E"/>
    <w:rsid w:val="009066F5"/>
    <w:rsid w:val="00937B51"/>
    <w:rsid w:val="009428B6"/>
    <w:rsid w:val="0097325A"/>
    <w:rsid w:val="009837D9"/>
    <w:rsid w:val="009F34F2"/>
    <w:rsid w:val="009F3E06"/>
    <w:rsid w:val="00A01F98"/>
    <w:rsid w:val="00A50576"/>
    <w:rsid w:val="00A560FE"/>
    <w:rsid w:val="00A63721"/>
    <w:rsid w:val="00B01A80"/>
    <w:rsid w:val="00B14C7F"/>
    <w:rsid w:val="00BA51FC"/>
    <w:rsid w:val="00BD1D25"/>
    <w:rsid w:val="00BE2373"/>
    <w:rsid w:val="00C00371"/>
    <w:rsid w:val="00C91D26"/>
    <w:rsid w:val="00C94900"/>
    <w:rsid w:val="00CA1725"/>
    <w:rsid w:val="00CA431D"/>
    <w:rsid w:val="00CB239C"/>
    <w:rsid w:val="00CC29BD"/>
    <w:rsid w:val="00CC2CAB"/>
    <w:rsid w:val="00D16A70"/>
    <w:rsid w:val="00D21E9F"/>
    <w:rsid w:val="00D7161F"/>
    <w:rsid w:val="00D71D88"/>
    <w:rsid w:val="00D861AC"/>
    <w:rsid w:val="00E018E0"/>
    <w:rsid w:val="00E21D60"/>
    <w:rsid w:val="00E347D4"/>
    <w:rsid w:val="00E34DE4"/>
    <w:rsid w:val="00E56C3F"/>
    <w:rsid w:val="00E664DA"/>
    <w:rsid w:val="00EC10EE"/>
    <w:rsid w:val="00ED4822"/>
    <w:rsid w:val="00EE0E6C"/>
    <w:rsid w:val="00F0083C"/>
    <w:rsid w:val="00F07BE5"/>
    <w:rsid w:val="00F1267B"/>
    <w:rsid w:val="00FB60D4"/>
    <w:rsid w:val="00FC65A4"/>
    <w:rsid w:val="00FE6BF6"/>
    <w:rsid w:val="00FE7709"/>
    <w:rsid w:val="014C5AA8"/>
    <w:rsid w:val="04CF2066"/>
    <w:rsid w:val="06B07B82"/>
    <w:rsid w:val="0BC70862"/>
    <w:rsid w:val="0D8E4158"/>
    <w:rsid w:val="10505F32"/>
    <w:rsid w:val="1A010D17"/>
    <w:rsid w:val="1AEA4FEF"/>
    <w:rsid w:val="1AFE5942"/>
    <w:rsid w:val="1B762272"/>
    <w:rsid w:val="1C7F3F65"/>
    <w:rsid w:val="21AB121A"/>
    <w:rsid w:val="240048A3"/>
    <w:rsid w:val="25EA35B7"/>
    <w:rsid w:val="264C219B"/>
    <w:rsid w:val="28461C9C"/>
    <w:rsid w:val="2D8D4B9C"/>
    <w:rsid w:val="31D35EDE"/>
    <w:rsid w:val="31D40319"/>
    <w:rsid w:val="358D0F0B"/>
    <w:rsid w:val="37876F69"/>
    <w:rsid w:val="38F00FC4"/>
    <w:rsid w:val="3A322445"/>
    <w:rsid w:val="3DC624C1"/>
    <w:rsid w:val="3FB11C9A"/>
    <w:rsid w:val="4424529A"/>
    <w:rsid w:val="44C646E2"/>
    <w:rsid w:val="46902609"/>
    <w:rsid w:val="4847319B"/>
    <w:rsid w:val="49520049"/>
    <w:rsid w:val="542D593B"/>
    <w:rsid w:val="552F123F"/>
    <w:rsid w:val="593C1F9E"/>
    <w:rsid w:val="5D881E34"/>
    <w:rsid w:val="68C77CB4"/>
    <w:rsid w:val="69B559EA"/>
    <w:rsid w:val="707149AA"/>
    <w:rsid w:val="78B33DB1"/>
    <w:rsid w:val="7D62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63058171-B561-4646-BE74-C1A52E29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qFormat/>
    <w:pPr>
      <w:spacing w:after="120"/>
      <w:ind w:leftChars="200" w:left="420"/>
    </w:pPr>
    <w:rPr>
      <w:sz w:val="16"/>
      <w:szCs w:val="16"/>
    </w:rPr>
  </w:style>
  <w:style w:type="character" w:styleId="a7">
    <w:name w:val="Hyperlink"/>
    <w:basedOn w:val="a0"/>
    <w:uiPriority w:val="99"/>
    <w:qFormat/>
    <w:rPr>
      <w:color w:val="0000FF"/>
      <w:u w:val="single"/>
    </w:rPr>
  </w:style>
  <w:style w:type="character" w:customStyle="1" w:styleId="a6">
    <w:name w:val="页眉 字符"/>
    <w:basedOn w:val="a0"/>
    <w:link w:val="a5"/>
    <w:uiPriority w:val="99"/>
    <w:qFormat/>
    <w:locked/>
    <w:rPr>
      <w:kern w:val="2"/>
      <w:sz w:val="18"/>
      <w:szCs w:val="18"/>
    </w:rPr>
  </w:style>
  <w:style w:type="character" w:customStyle="1" w:styleId="a4">
    <w:name w:val="页脚 字符"/>
    <w:basedOn w:val="a0"/>
    <w:link w:val="a3"/>
    <w:uiPriority w:val="99"/>
    <w:qFormat/>
    <w:locked/>
    <w:rPr>
      <w:kern w:val="2"/>
      <w:sz w:val="18"/>
      <w:szCs w:val="18"/>
    </w:rPr>
  </w:style>
  <w:style w:type="character" w:customStyle="1" w:styleId="apple-converted-space">
    <w:name w:val="apple-converted-space"/>
    <w:basedOn w:val="a0"/>
    <w:uiPriority w:val="99"/>
    <w:qFormat/>
  </w:style>
  <w:style w:type="paragraph" w:customStyle="1" w:styleId="style1">
    <w:name w:val="style1"/>
    <w:basedOn w:val="a"/>
    <w:uiPriority w:val="99"/>
    <w:qFormat/>
    <w:pPr>
      <w:widowControl/>
      <w:spacing w:before="100" w:beforeAutospacing="1" w:after="100" w:afterAutospacing="1"/>
      <w:jc w:val="left"/>
    </w:pPr>
    <w:rPr>
      <w:rFonts w:ascii="宋体" w:hAnsi="宋体" w:cs="宋体"/>
      <w:kern w:val="0"/>
      <w:sz w:val="24"/>
      <w:szCs w:val="24"/>
    </w:rPr>
  </w:style>
  <w:style w:type="paragraph" w:styleId="a8">
    <w:name w:val="List Paragraph"/>
    <w:basedOn w:val="a"/>
    <w:uiPriority w:val="99"/>
    <w:qFormat/>
    <w:pPr>
      <w:ind w:firstLineChars="200" w:firstLine="420"/>
    </w:pPr>
  </w:style>
  <w:style w:type="character" w:customStyle="1" w:styleId="30">
    <w:name w:val="正文文本缩进 3 字符"/>
    <w:basedOn w:val="a0"/>
    <w:link w:val="3"/>
    <w:uiPriority w:val="99"/>
    <w:qFormat/>
    <w:locked/>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432</Words>
  <Characters>2468</Characters>
  <Application>Microsoft Office Word</Application>
  <DocSecurity>0</DocSecurity>
  <Lines>20</Lines>
  <Paragraphs>5</Paragraphs>
  <ScaleCrop>false</ScaleCrop>
  <Company>CSFU</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中南林学院植物学教学大纲</dc:title>
  <dc:creator>马宗艳</dc:creator>
  <cp:lastModifiedBy>15252916@qq.com</cp:lastModifiedBy>
  <cp:revision>39</cp:revision>
  <cp:lastPrinted>2020-04-27T15:48:00Z</cp:lastPrinted>
  <dcterms:created xsi:type="dcterms:W3CDTF">2018-04-04T08:30:00Z</dcterms:created>
  <dcterms:modified xsi:type="dcterms:W3CDTF">2023-02-16T02:49:00Z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2CEF36339CAE4BA6B146C25088C244FE</vt:lpwstr>
  </property>
</Properties>
</file>